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IB 155 vom 23. Januar 1981</w:t>
      </w:r>
    </w:p>
    <w:p>
      <w:r>
        <w:t>Bundesgericht (BGE), 1981-01-23, DE</w:t>
      </w:r>
    </w:p>
    <w:p>
      <w:r>
        <w:rPr>
          <w:b/>
        </w:rPr>
        <w:t xml:space="preserve">Quelle: </w:t>
      </w:r>
      <w:r>
        <w:t>https://mcp.opencaselaw.ch/entscheid/bge_107 IB 155</w:t>
      </w:r>
    </w:p>
    <w:p>
      <w:r>
        <w:t>FR: BGE 107 IB 155 du 23 janvier 1981</w:t>
      </w:r>
    </w:p>
    <w:p>
      <w:r>
        <w:t>IT: BGE 107 IB 155 del 23 gennaio 1981</w:t>
      </w:r>
    </w:p>
    <w:p>
      <w:pPr>
        <w:pStyle w:val="Heading2"/>
      </w:pPr>
      <w:r>
        <w:t>Regeste</w:t>
      </w:r>
    </w:p>
    <w:p>
      <w:r>
        <w:t>Regeste Haftung des Gemeinwesens für Rechtsverzögerung (Gesetz des Kantons Zürich über die Haftung des Staates und der Gemeinden sowie ihrer Behörden und Beamten). Der Kanton kann zum Ersatz des Schadens aus einer übermässig langen Prozessdauer nicht verpflichtet werden, wenn die geschädigte Partei nicht alle ihr zur Verfügung stehenden Vorkehren getroffen hat, um - mit entsprechenden Eingaben an das Gericht oder wenn nötig mit einer Rechtsverzögerungsbeschwerde - auf eine Beschleunigung des Verfahrens hinzuwirken.</w:t>
      </w:r>
    </w:p>
    <w:p>
      <w:pPr>
        <w:pStyle w:val="Heading2"/>
      </w:pPr>
      <w:r>
        <w:t>Erwägungen</w:t>
      </w:r>
    </w:p>
    <w:p>
      <w:r>
        <w:rPr>
          <w:b/>
        </w:rPr>
        <w:t>E. 1</w:t>
      </w:r>
    </w:p>
    <w:p>
      <w:r>
        <w:t>Gemäss Art. 42 OG beurteilt das Bundesgericht als einzige Instanz "zivilrechtliche Streitigkeiten" zwischen einem Kanton einerseits und Privaten oder Korporationen andererseits, wenn eine Partei es rechtzeitig verlangt und der Streitwert mindestens Fr. 8'000.-- beträgt. Hierbei begründet es keinen Unterschied, ob die Streitigkeiten nach der kantonalen Gesetzgebung im ordentlichen Prozessverfahren oder in einem besonderen Verfahren vor besonderen Behörden auszutragen wären. Ausgenommen sind jedoch Enteignungssachen. Im vorliegenden Fall ist die vermögensrechtliche Verantwortlichkeit des Kantons Zürich für ein angeblich rechtswidriges Verhalten des Bezirksgerichts von Zürich streitig. Der eingeklagte Anspruch untersteht daher dem kantonalen öffentlichen Recht ( BGE 101 II 184 f. E. 2b mit Hinweisen). Der in Art. 42 OG verwendete Begriff der "zivilrechtlichen" Streitigkeit hat indessen den Sinn behalten, den der historische Gesetzgeber ihm beilegte; er umfasst auch derartige Streitsachen öffentlichrechtlichen Charakters ( BGE 96 II 344 E. 3c, BGE 92 I 552 E. 1 mit Hinweisen). Die Klägerin hat das Bundesgericht im Sinne von Art. 42 OG "rechtzeitig" angerufen, d.h. bevor für den gleichen Streitgegenstand die kantonale Gerichtsbarkeit in Anspruch genommen ist. Der Streitwert übersteigt den Betrag von Fr. 8'000.--. Das Bundesgericht kann somit die Klage an die Hand nehmen. BGE 107 Ib 155 S. 158</w:t>
      </w:r>
    </w:p>
    <w:p>
      <w:r>
        <w:rPr>
          <w:b/>
        </w:rPr>
        <w:t>E. 2</w:t>
      </w:r>
    </w:p>
    <w:p>
      <w:r>
        <w:t>a) Nach § 6 des zürcherischen Gesetzes über die Haftung des Staates und der Gemeinden sowie ihrer Behörden und Beamten (Haftungsgesetz) vom 14. September 1969 haftet der Staat für den Schaden, den ein Beamter in Ausübung hoheitlicher Verrichtungen einem Dritten widerrechtlich zufügt. Diese Bestimmung ist auch auf die Gerichte anwendbar (§ 1 Haftungsgesetz). b) § 7 Haftungsgesetz sieht vor, dass der Richter die Ersatzpflicht ermässigen oder gänzlich von ihr entbinden kann, wenn der Geschädigte in die schädigende Handlung eingewilligt oder Umstände, für die er einstehen muss, auf die Entstehung oder Verschlimmerung des Schadens eingewirkt haben. Diese Bestimmung entspricht im wesentlichen Art. 44 Abs. 1 OR (und im übrigen auch Art. 4 des Bundesgesetzes über die Verantwortlichkeit des Bundes sowie seiner Behördemitglieder und Beamten, VG). Für die Beurteilung der Gründe, welche gemäss § 7 Haftungsgesetz eine Ermässigung oder ein Ausschluss der Ersatzpflicht herbeiführen können, kann somit die Rechtsprechung zum Selbstverschulden gemäss Art. 44 Abs. 1 OG herangezogen werden. Ein Selbstverschulden im Sinne des Zivilrechts liegt vor, wenn es der Geschädigte unterlässt, zumutbare Massnahmen zu ergreifen, die geeignet sind, der Entstehung oder Verschlimmerung eines Schadens entgegenzuwirken. Der Geschädigte hat mit anderen Worten diejenigen Massnahmen zu treffen, die ein vernünftiger Mensch in der gleichen Lage ergreifen würde, wenn er keinerlei Schadenersatz zu erwarten hätte (OFTINGER, Schweiz. Haftpflichtrecht I, 4. Aufl., S. 266 f., BGE 60 II 229 ). Droht ein Schaden durch die Handlung oder Unterlassung eines Gerichts, besteht die Möglichkeit, sich gegen solche Schäden innerhalb des betreffenden Verfahrens, d.h. mit den vom Prozessrecht zur Verfügung gestellten Mitteln zur Wehr zu setzen. Es sind in diesem Zusammenhang zwei Fälle zu unterscheiden. aa) Entsteht ein Schaden durch die Auswirkungen einer fehlerhaften prozessleitenden Verfügung der eines fehlerhaften Endentscheides, hat die betroffene Partei zunächst diese Entscheide mit den gegebenen Rechtsmitteln anzufechten. Die Rechtmässigkeit eines unangefochten gebliebenen Entscheides kann in einem späteren Staatshaftungsverfahren nicht mehr überprüft werden (§ 21 Abs. 1 des zürcherischen Haftungsgesetzes, vgl. auch Art. 12 VG , BGE 100 Ib 11 E. 2b). Soweit die Rechtswidrigkeit eines Entscheides nicht mehr festgestellt werden kann, entfällt auch eine Haftung des Staates. bb) Wenn zu befürchten ist, dass aus einer langen Prozessdauer BGE 107 Ib 155 S. 159 ein Schaden entsteht, kann der betroffenen Partei zugemutet werden, das Gericht auf den drohenden Schaden aufmerksam zu machen und es um eine raschere Abwicklung des Verfahrens zu ersuchen (vgl. den Bundesgerichtsentscheid in ZBl 81/1980, S. 268 E. 2d). Wird durch eine solche Massnahme der Gang des Verfahrens nicht beschleunigt und besteht keine Aussicht mehr, dass das Verfahren innerhalb einer angemessenen Frist abgeschlossen werden kann, ist es der betroffenen Partei zudem zuzumuten, eine Rechtsverzögerungsbeschwerde zu ergreifen (zur Frage der unrechtmässigen Rechtsverzögerung vgl. BGE 103 V 192 ff.). Solche Mittel sind zu ergreifen, bevor auf dem Weg der Staatshaftung versucht wird, vom Staat Schadenersatz zu erlangen. Insofern besteht eine gewisse Subsidiarität der Staatshaftung (FRANZ SCHÖN, Staatshaftung als Verwaltungsrechtsschutz, Basler Studien zur Rechtswissenschaft, Heft 116, S. 189 ff.). Wenn eine Partei die Beschleunigung des Verfahrens nicht mit den genannten Massnahmen versucht hat, muss ihr in einem allfälligen späteren Staatshaftungsprozess ein Selbstverschulden im Sinne von § 7 Haftungsgesetz entgegengehalten werden. c) Die Klägerin macht nicht geltend, dass sie das Bezirksgericht Zürich unter Hinweis auf den drohenden Schaden um eine schnellere Abwicklung des Verfahrens ersucht habe. Zudem ergriff sie unbestrittenermassen keine Rechtsverzögerungsbeschwerde gegen das Bezirksgericht, obschon im Hinblick auf die lange Prozessdauer in guten Treuen behauptet werden konnte, es liege widerrechtliche Rechtsverzögerung vor. Die Klägerin unterliess es somit, die zumutbaren Massnahmen zu ergreifen, um den geltend gemachten Schaden abzuwehren. Dieses Untätigsein muss ihr als Selbstverschulden angerechnet werden. Dadurch wurde der Kausalzusammenhang zwischen der beanstandeten Prozessführung durch das Bezirksgericht und einem eventuellen Schaden unterbrochen. Bei dieser Rechtslage ist eine Haftung des Kantons Zürich gemäss § 7 Haftungsgesetz ausgeschlossen.</w:t>
      </w:r>
    </w:p>
    <w:p>
      <w:r>
        <w:rPr>
          <w:b/>
        </w:rPr>
        <w:t>E. 3</w:t>
      </w:r>
    </w:p>
    <w:p>
      <w:r>
        <w:t>Nachdem die Klage bereits aufgrund von § 7 Haftungsgesetz abgewiesen werden muss, braucht nicht mehr geprüft zu werden, ob die beanstandete Prozessführung eine widerrechtliche Handlung bzw. Unterlassung gemäss § 6 Abs. 1 Haftungsgesetz darstellt und ob und in welcher Höhe der behauptete Schaden entstanden ist. Im weiteren kann dahingestellt bleiben, ob die als Schaden bezeichnete Verminderung des ehelichen Vermögens durch den Ehemann nicht im Rahmen der Berechnung und Teilung des Vorschlags zu berücksichtigen gewesen wäre und ob BGE 107 Ib 155 S. 160 dieser Schaden daher - nachdem die Vorschlagsteilung rechtskräftig geworden ist - im Staatshaftungsverfahren noch geltend gemacht werden kann (§ 21 Abs. 1 Haftungsgesetz).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